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  <w:u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  <w:u w:val="none"/>
        </w:rPr>
        <w:t xml:space="preserve">Наблюдение</w:t>
      </w:r>
      <w:r>
        <w:rPr>
          <w:rFonts w:ascii="PT Astra Serif" w:hAnsi="PT Astra Serif" w:eastAsia="PT Astra Serif" w:cs="PT Astra Serif"/>
          <w:b/>
          <w:sz w:val="28"/>
          <w:szCs w:val="28"/>
          <w:u w:val="none"/>
        </w:rPr>
      </w:r>
      <w:r>
        <w:rPr>
          <w:rFonts w:ascii="PT Astra Serif" w:hAnsi="PT Astra Serif" w:cs="PT Astra Serif"/>
          <w:b/>
          <w:sz w:val="28"/>
          <w:szCs w:val="28"/>
          <w:u w:val="none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  <w:u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  <w:u w:val="none"/>
        </w:rPr>
        <w:t xml:space="preserve">за дистанционным электронным голосованием</w:t>
      </w:r>
      <w:r>
        <w:rPr>
          <w:rFonts w:ascii="PT Astra Serif" w:hAnsi="PT Astra Serif" w:eastAsia="PT Astra Serif" w:cs="PT Astra Serif"/>
          <w:b/>
          <w:sz w:val="28"/>
          <w:szCs w:val="28"/>
          <w:u w:val="none"/>
        </w:rPr>
      </w:r>
      <w:r>
        <w:rPr>
          <w:rFonts w:ascii="PT Astra Serif" w:hAnsi="PT Astra Serif" w:cs="PT Astra Serif"/>
          <w:b/>
          <w:sz w:val="28"/>
          <w:szCs w:val="28"/>
          <w:u w:val="none"/>
        </w:rPr>
      </w:r>
    </w:p>
    <w:p>
      <w:pPr>
        <w:ind w:firstLine="709"/>
        <w:spacing w:after="0" w:line="240" w:lineRule="auto"/>
        <w:rPr>
          <w:rFonts w:ascii="PT Astra Serif" w:hAnsi="PT Astra Serif" w:cs="PT Astra Serif"/>
          <w:b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eastAsia="PT Astra Serif" w:cs="PT Astra Serif"/>
          <w:b/>
          <w:sz w:val="28"/>
          <w:szCs w:val="28"/>
          <w:u w:val="single"/>
        </w:rPr>
      </w:r>
      <w:r>
        <w:rPr>
          <w:rFonts w:ascii="PT Astra Serif" w:hAnsi="PT Astra Serif" w:cs="PT Astra Serif"/>
          <w:b/>
          <w:sz w:val="28"/>
          <w:szCs w:val="28"/>
          <w:u w:val="single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Несмотря на широкое распространение дистанционного электронного голосования (ДЭГ)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последние семь лет, организация наблюдения за ним по-прежнему остается вопросом, с одной стороны, требующим понимания специфических для ДЭГ подходов, а с другой – крайне важным с точки зрения повышения доверия избирателей к ДЭГ.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Ключевым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тличием ДЭГ от других форм волеизъявления является его построение на базе общепризнанных математических принципов, по своей сути гарантирующих соблюдение всех необходимых свойств голосования, в том числе тайны голосования и достоверности подведения итогов.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силу этого процесс наблю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дения за ДЭГ в первую очередь сводится не к непосредственному наблюдению за выдачей бюллетеней, а к контролю за реализацией математических процедур и подходов в системе ДЭГ в процессе как самого голосования и подведения его итогов, так и подготовки к нему.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Подобный контроль может осуществляться с очень высокой эффективностью различными участниками избирательного процесса, в том числе и удаленно, без присутствия в помещении комиссии. Поэтому, несмотря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то, что осуществление наблюдения за ДЭГ требует понимания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заложенных в его основу математических концепций и информационных технологий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возможно обеспечить максимально широкое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участие в наблюдении представителей политических партий, кандидатов и представителей институтов общественного контроля. Для них доступны три уровня наблюдения.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Первый уровень наблюдения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Наблюдение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сети Интернет на портале наблюдения программно-технического комплекса дистанционного электронного голосования (далее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портал наблюдения ПТК ДЭГ)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 свободным доступом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Наблюдение за ходом ДЭГ доступно </w:t>
      </w:r>
      <w:r>
        <w:rPr>
          <w:rFonts w:ascii="PT Astra Serif" w:hAnsi="PT Astra Serif" w:eastAsia="PT Astra Serif" w:cs="PT Astra Serif"/>
          <w:b/>
          <w:color w:val="000000"/>
          <w:sz w:val="28"/>
          <w:szCs w:val="28"/>
          <w:shd w:val="clear" w:color="auto" w:fill="ffffff"/>
        </w:rPr>
        <w:t xml:space="preserve">всем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 желающим в сети Интернет на портале наблюдения ПТК ДЭГ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, расположенном по адресу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  <w:lang w:val="en-US"/>
        </w:rPr>
        <w:t xml:space="preserve">stat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  <w:lang w:val="en-US"/>
        </w:rPr>
        <w:t xml:space="preserve">vybory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  <w:lang w:val="en-US"/>
        </w:rPr>
        <w:t xml:space="preserve">gov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  <w:lang w:val="en-US"/>
        </w:rPr>
        <w:t xml:space="preserve">ru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. Он предназначен не только для специалистов в области информационных технологий, но и для большого круга наблюдателей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 и избирателей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. Важно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отметить, что перед началом голосования на портале размещается информация о количестве избирателей, включенных в список участников дистанционного электронного голосования, в разрезе избирательных участков по их месту жительства, а после начала голосования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можно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в удобной и наглядной форме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в режиме реального времени получать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общую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информацию о ходе дистанционного электронного голосования, включая количество участников ДЭГ, число выданных электронных бюллетеней и текущую явку.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Кроме того,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после завершения подведения итогов голосования на портале в автоматическом режиме публикуются протоколы об итогах голосования, подписанные индивидуальными цифровыми подписями членов ТИК ДЭГ.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Такой формат обеспечивает высокий уровень открытости процедуры ДЭГ и позволяет каждому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избирателю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  <w:t xml:space="preserve">самостоятельно убедиться в том, что голосование проводится в соответствии с установленными требованиями.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Второй уровень наблюдения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Наблюдение в сети Интернет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портал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наблюдения ПТК ДЭГ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доступом для наблюдателей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олитические партии, выдвинувшие зарегистрированных кандидатов, зарегистрированные кандидаты и субъекты общественного контроля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br/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на выборах, где проводится ДЭГ,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не ранее 7 сентября и не позднее 14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сентябр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я 2026 года смогут самостоятельно назначить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до трех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наблюдателей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для работы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на портале наблюдения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ПТК ДЭГ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По практике  прошедших избирательных кампаний, на портале регистрировалось от 100 до 400 наблюдателей. 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/>
          <w:i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Для осуществления наблюдения на портале наблюдения ПТК ДЭГ наблюдатель должен иметь подтвержденную учетную запись в ЕСИА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(«Госуслуги»).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Эта учетная запись используется для входа на портал наблюдения ПТК ДЭГ.</w:t>
      </w:r>
      <w:r>
        <w:rPr>
          <w:rFonts w:ascii="PT Astra Serif" w:hAnsi="PT Astra Serif" w:eastAsia="PT Astra Serif" w:cs="PT Astra Serif"/>
          <w:b/>
          <w:i/>
          <w:sz w:val="28"/>
          <w:szCs w:val="28"/>
        </w:rPr>
      </w:r>
      <w:r>
        <w:rPr>
          <w:rFonts w:ascii="PT Astra Serif" w:hAnsi="PT Astra Serif" w:cs="PT Astra Serif"/>
          <w:b/>
          <w:i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Наблюдатель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ра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ботающий на портале ПТК ДЭГ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, обладает расширенным доступом к данным о выдаче и приеме бюллетеней, функционировании ПТК ДЭГ, инструментам автоматизированного математического анализа хода ДЭГ, проверки хода выдачи и учета бюллетеней, а также корректности подведения итогов голосования.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Данные о ходе голосования предоставляются в виде 60-минутных ар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хи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вов блоков информации (транзакций) блокчейна ПТК ДЭГ – то есть записей, однозначно отражающих все происходящие в системе ДЭГ события: загрузку списков избирателей и бюллетеней при подготовке к голосованию, выдачу и прием бюллетеней в ходе голосования, тран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закции подведения итог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ов после его окончания. При этом все данные имеют криптографическую подпись, позволяющую однозначно установить их достоверность и неизменность, а содержание бюллетеней в части волеизъявления надежно зашифровано для обеспечения соблюдения тайны голосования.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Автоматизированные средства для работы с порталом наблюдения ПТК ДЭГ позволяют: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своевременно получать архивы транзакций ПТК ДЭГ, в том числе в автоматизированном режиме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– 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без непосредственного присутствия наблюдателя за компьютером;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анализировать ход ДЭГ, включая выдачу и прием бюллетеней, с посекундной точностью;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анализировать сохранность бюллетеней, автоматически фиксировать любые факты незаконных манипуляций с бюллетенями в системе ДЭГ;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pStyle w:val="835"/>
        <w:ind w:left="0" w:firstLine="709"/>
        <w:jc w:val="both"/>
        <w:spacing w:after="0" w:line="360" w:lineRule="auto"/>
        <w:shd w:val="clear" w:color="auto" w:fill="ffffff"/>
        <w:widowControl w:val="off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анализировать и подтверждать корректность учета бюллетеней и подведения итогов голосования.</w:t>
      </w:r>
      <w:r>
        <w:rPr>
          <w:rFonts w:ascii="PT Astra Serif" w:hAnsi="PT Astra Serif" w:eastAsia="PT Astra Serif" w:cs="PT Astra Serif"/>
          <w:bCs/>
          <w:sz w:val="28"/>
          <w:szCs w:val="28"/>
        </w:rPr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Таким образом,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наблюдателей, обладающих специальными техническими знаниями, на портале предусмотрены инструменты анализа данных распределенной базы данных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(блокчейна)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ПТК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ДЭГ,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дающие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широчайшие возможности независимого наблюдения, анализа и подтверждения корректности результатов как в ходе голосования, так и после его завершения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этом качестве по объему предоставляемой наблюдателям информации, степени автоматизации их работы и общей эффективности наблюдения ДЭГ является уникальной, не имеющей аналогов системой</w:t>
      </w:r>
      <w:r>
        <w:rPr>
          <w:rFonts w:ascii="PT Astra Serif" w:hAnsi="PT Astra Serif" w:eastAsia="PT Astra Serif" w:cs="PT Astra Serif"/>
          <w:bCs/>
          <w:sz w:val="28"/>
          <w:szCs w:val="28"/>
        </w:rPr>
        <w:t xml:space="preserve">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все эти возможности предоставляются в удаленном режиме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без необходимости очно присутствовать в помещении ТИК ДЭГ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Третий уровень наблюдения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 данном уровне наблюдения у участников избирательного процесса имеется возможность назначить наблюдателей непосредственно в территориальную избирательную комиссию дистанционного электронног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голосования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Несмотря на высочайшую степень автоматизации и опору на математические принципы, неукоснительное соблюдение процедур подготовки и проведения голосования членами ТИК ДЭГ по-прежнему остается краеугольным камнем в обеспечении прозрачности ДЭГ.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состав ТИК ДЭГ входят представители парламентских политических партий, Общественной палаты Российской Федерации и общественных палат субъектов Российской Федерации,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где проводится дистанционное электронное голосование. Кроме того, участники избирательного процесса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могут назначить в ТИК ДЭГ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наблюдателей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работы в помещении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ТИК ДЭГ. </w:t>
      </w:r>
      <w:r>
        <w:rPr>
          <w:rFonts w:ascii="PT Astra Serif" w:hAnsi="PT Astra Serif" w:eastAsia="PT Astra Serif" w:cs="PT Astra Serif"/>
          <w:sz w:val="28"/>
          <w:szCs w:val="28"/>
          <w14:ligatures w14:val="none"/>
        </w:rPr>
      </w:r>
      <w:r>
        <w:rPr>
          <w:rFonts w:ascii="PT Astra Serif" w:hAnsi="PT Astra Serif" w:cs="PT Astra Serif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Наблюдателям в ТИК ДЭГ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оставляется возможность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присутствовать при работе ТИК ДЭГ, осуществляя наблюдение за проводимыми членами комиссии процедурами и их соответствием утвержденному порядку организации ДЭГ;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ab/>
        <w:t xml:space="preserve">получать разъяснения от членов комиссии о сути и принципах организации ДЭГ и проводимых процедурах;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накомиться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 списком участников ДЭГ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(с использованием специализированного рабочего места, предоставляемого в распоряжение наблюдателя);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получать доступ к порталу наблюдения ПТК ДЭГ с возможностями, аналогичными возможностям наблюдателей, работающих удаленно;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получать прямой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доступ к отдельному узлу (ноде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наблюдения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распределенной базы данных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(блокчейна)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ПТК ДЭГ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обеспечивающий техническую возможность получения данных о транзакциях блокчейна ПТК ДЭГ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реальном времени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Тем самым обеспечивается возможность автоматизированного получения данных о 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оде подготовки, проведения и подведения итогов голосования, включая выдачу и прием бюллетеней, круглосуточно, в реальном времени и напрямую из блокчейна ПТК ДЭГ, минуя промежуточные ступени по формированию архивов транзакций для портала наблюдения ПТК ДЭГ.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Это обеспечивает высочайший уровень контроля за ходом ДЭГ, по сути, позволяя наблюдателям независимо формирова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ть непрерывный «слепок» блокчейна ПТК ДЭГ в течение всего голосования и подведения итогов, с высочайшей надежностью контролировать стабильность работы ПТК ДЭГ, динамику выдачи и приема бюллетеней, их сохранность, корректность подведения итогов голосования.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Общественной палате Российской Федерации наблюдателям также предоставляется прямой доступ к отдельному узлу (ноде) распределенной базы данных (блокчейну) ПТК ДЭ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8"/>
        <w:jc w:val="right"/>
        <w:spacing w:after="0" w:line="240" w:lineRule="auto"/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Артамонов О.Н.,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сопредседатель Координационного совета Общественной палаты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Российской Федерации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  <w:t xml:space="preserve">по общественному контролю за голосованием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  <w:highlight w:val="none"/>
          <w14:ligatures w14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  <w:jc w:val="center"/>
    </w:pPr>
    <w:fldSimple w:instr="PAGE \* MERGEFORMAT">
      <w:r>
        <w:t xml:space="preserve">1</w:t>
      </w:r>
    </w:fldSimple>
    <w:r/>
    <w:r/>
  </w:p>
  <w:p>
    <w:pPr>
      <w:pStyle w:val="68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3194-EFAD-4792-BFD7-86D70852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Pantilee</dc:creator>
  <cp:lastModifiedBy>m.a.davydova</cp:lastModifiedBy>
  <cp:revision>9</cp:revision>
  <dcterms:created xsi:type="dcterms:W3CDTF">2026-06-25T04:53:00Z</dcterms:created>
  <dcterms:modified xsi:type="dcterms:W3CDTF">2026-07-02T09:38:03Z</dcterms:modified>
</cp:coreProperties>
</file>